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>CIRCULAR 12/15 (ACTUALIZADA AL 17 ABR 2015)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>
        <w:spacing w:after="128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>Con motivo de la exigencia particular que se encuentran afrontando numerosos caballos de Alto Rendimiento, a raíz de la preparación y selección para los PANAM 2015 y teniendo en cuenta  la proximidad entre las últimas pruebas selectivas y el comienzo  del torneo de referencia, la Circular 12/15 original se modifica en los siguientes términos: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>Las pruebas establecidas en la Circular 12/15 original, se disputarán cada una en forma independiente (no como circuito) , con los premios establecidos en la misma y se prevé la realización de una prueba final (fecha y sede a determinar) en la que se distribuirá el total de premios establecidos oportunamente para el  campeonato (bolsa $70. 000-)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spacing w:val="0"/>
          <w:color w:val="1A1A1A"/>
        </w:rPr>
        <w:t xml:space="preserve">SEC. TEC.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CocoaOOXMLWriter/1344.72</generator>
</meta>
</file>